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27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854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Коптяева Игоря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шаткую походку, невнятную речь</w:t>
      </w:r>
      <w:r>
        <w:rPr>
          <w:rFonts w:ascii="Times New Roman" w:eastAsia="Times New Roman" w:hAnsi="Times New Roman" w:cs="Times New Roman"/>
        </w:rPr>
        <w:t xml:space="preserve">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Коптяевым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398388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Fonts w:ascii="Times New Roman" w:eastAsia="Times New Roman" w:hAnsi="Times New Roman" w:cs="Times New Roman"/>
        </w:rPr>
        <w:t>полицейского</w:t>
      </w:r>
      <w:r>
        <w:rPr>
          <w:rFonts w:ascii="Times New Roman" w:eastAsia="Times New Roman" w:hAnsi="Times New Roman" w:cs="Times New Roman"/>
        </w:rPr>
        <w:t xml:space="preserve"> ОР ППСП МО МВД «Ханты-Мансийский»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26.06.2025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1,80</w:t>
      </w:r>
      <w:r>
        <w:rPr>
          <w:rFonts w:ascii="Times New Roman" w:eastAsia="Times New Roman" w:hAnsi="Times New Roman" w:cs="Times New Roman"/>
        </w:rPr>
        <w:t xml:space="preserve"> мг/л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Коптяева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Коптяеву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Коптяева Игоря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